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default" w:ascii="Times New Roman" w:hAnsi="Times New Roman" w:eastAsia="文星仿宋" w:cs="文星仿宋"/>
          <w:color w:val="auto"/>
          <w:sz w:val="32"/>
          <w:szCs w:val="32"/>
          <w:highlight w:val="none"/>
          <w:lang w:val="en-US" w:eastAsia="zh-CN"/>
        </w:rPr>
      </w:pPr>
      <w:r>
        <w:rPr>
          <w:rFonts w:hint="eastAsia" w:ascii="Times New Roman" w:hAnsi="Times New Roman" w:eastAsia="文星黑体" w:cs="文星黑体"/>
          <w:color w:val="auto"/>
          <w:sz w:val="32"/>
          <w:szCs w:val="32"/>
          <w:lang w:val="en-US" w:eastAsia="zh-CN"/>
        </w:rPr>
        <w:t>附件1</w:t>
      </w: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imes New Roman" w:hAnsi="Times New Roman" w:eastAsia="文星仿宋" w:cs="文星仿宋"/>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imes New Roman" w:hAnsi="Times New Roman" w:eastAsia="文星标宋" w:cs="文星标宋"/>
          <w:color w:val="auto"/>
          <w:sz w:val="36"/>
          <w:szCs w:val="36"/>
          <w:highlight w:val="none"/>
          <w:lang w:val="en-US" w:eastAsia="zh-CN"/>
        </w:rPr>
      </w:pPr>
      <w:r>
        <w:rPr>
          <w:rFonts w:hint="eastAsia" w:ascii="Times New Roman" w:hAnsi="Times New Roman" w:eastAsia="文星标宋" w:cs="文星标宋"/>
          <w:color w:val="auto"/>
          <w:sz w:val="36"/>
          <w:szCs w:val="36"/>
          <w:highlight w:val="none"/>
          <w:lang w:val="en-US" w:eastAsia="zh-CN"/>
        </w:rPr>
        <w:t>2026年度武汉市软科学研究项目申报指南</w:t>
      </w: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imes New Roman" w:hAnsi="Times New Roman" w:eastAsia="文星标宋" w:cs="文星标宋"/>
          <w:color w:val="auto"/>
          <w:sz w:val="36"/>
          <w:szCs w:val="36"/>
          <w:highlight w:val="none"/>
          <w:lang w:val="en-US" w:eastAsia="zh-CN"/>
        </w:rPr>
      </w:pPr>
      <w:r>
        <w:rPr>
          <w:rFonts w:hint="eastAsia" w:ascii="Times New Roman" w:hAnsi="Times New Roman" w:eastAsia="文星标宋" w:cs="文星标宋"/>
          <w:color w:val="auto"/>
          <w:sz w:val="36"/>
          <w:szCs w:val="36"/>
          <w:highlight w:val="none"/>
          <w:lang w:val="en-US" w:eastAsia="zh-CN"/>
        </w:rPr>
        <w:t>（一般项目）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textAlignment w:val="auto"/>
        <w:rPr>
          <w:rFonts w:hint="eastAsia" w:ascii="Times New Roman" w:hAnsi="Times New Roman" w:eastAsia="文星楷体" w:cs="文星楷体"/>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一、武汉光互联产业科技创新体系构建研究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仿宋" w:hAnsi="文星仿宋" w:eastAsia="文星仿宋" w:cs="文星仿宋"/>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系统梳理CPO与OIO核心技术架构、材料体系、工艺节点与成熟度、功耗及良率水平，研判未来5-10年技术演进趋势并开展技术预见。开展全球光互联（CPO/OIO）专利全景分析，识别核心专利持有者、技术热点、竞争壁垒与自由实施风险。绘制全球光互联产业生态图谱，分析各类市场主体战略布局，梳理我国产业链关键环节短板，形成重点攻关清单。评估武汉光互联产业基础、核心企业实力、技术储备、创新资源与供应链自主可控水平，精准识别优势领域与关键堵点。基于“技术-市场-供应链”三维框架，开展武汉光互联产业科技创新体系分析，提出差异化策略与协同创新生态构建路径，形成专项成果、产业图谱及可落地的政策建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二、数智经济背景下武汉人工智能安全治理体系构建研究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剖析数智经济与人工智能安全治理的耦合机理，明确二者融合的内在逻辑与数智经济背景下AI的风险类型、形成及传播规律；结合我国治理实践，梳理现有治理体系适配数智经济发展的短板与问题；借鉴国际治理经验，结合我国国情，构建涵盖风险研判、规则制定、多方协同、能力建设的治理框架；立足武汉实际，探索武汉人工智能协同治理、数智经济高质量发展的实践路径，提出具有前瞻性、可操作性的人工智能安全治理体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三、武汉人工智能OPC创新创业模式研究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仿宋" w:hAnsi="文星仿宋" w:eastAsia="文星仿宋" w:cs="文星仿宋"/>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探究AI赋能创新创业的内在机理与实现路径，剖析OPC从创意萌发到商业闭环的全周期演化规律。摸排武汉市人工智能OPC创新创业支撑要素，明确其协同运行机制，形成覆盖各类主体的多元基础调研数据库。分析国内外先进地区人工智能OPC创新创业现状，总结提炼可借鉴的先进经验，结合武汉实际，提出优化人工智能OPC创新创业生态的政策建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四、科技金融支撑科技创新和产业创新深度融合的路径研究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仿宋" w:hAnsi="文星仿宋" w:eastAsia="文星仿宋" w:cs="文星仿宋"/>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系统梳理北京、上海、广东等先进地区科技金融支撑科产融合的法规政策、实践模式与成效经验，对标国家战略要求与先进水平，分析武汉科产融合的核心痛点与瓶颈制约。研究科技金融赋能科产融合的核心路径，构建涵盖股权投资引导、债权融资增信、多层次资本市场培育的科技金融供给体系。结合武汉实际与最新政策导向，围绕科技研发、成果转化、产业培育、人才保障等方面，提出可操作性强的具体措施，制定重点任务清单与阶段性目标，形成研究报告，为科产深度融合提供支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五、武汉概念验证中心建设运营与服务提质路径研究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分类调研武汉概念验证中心及概念验证联盟运行现状，梳理其运行模式、服务能力、资源配置和转化成效等现状及问题，剖析国内先进地区案例，总结提炼核心成熟做法，开展实操性政策工具与系统化制度设计，构建符合科技创新规律和市场化要求的成果转化前端支撑体系的实践路径，推动武汉概念验证中心功能升级与效能提升。</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六、基于科技奖励评价视角的武汉科技成果转化体系优化路径研究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全面梳理近年来武汉市获国家、省级科技奖励成果的转化现状，重点厘清奖励成果在产业落地、技术应用、效益产出等方面的实际情况，明确武汉在成果转化中的优势，分析武汉科技成果转化在奖励评价导向、转化服务支撑、激励联动机制等方面的瓶颈制约。梳理国内先进地区以科技奖励促进成果转化的经验做法，围绕优化奖励评价体系、强化转化服务支撑、完善激励联动机制三大维度，研究提出提升武汉市科技成果转化效能的对策建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七、长江中游城市群科创走廊建设研究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仿宋" w:hAnsi="文星仿宋" w:eastAsia="文星仿宋" w:cs="文星仿宋"/>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聚焦创新驱动发展战略和长江经济带发展战略，系统梳理长江中游城市群科创资源禀赋、空间分布与集聚特征，借鉴长三角G60科创走廊建设经验，科学评估长江中游城市群科创走廊建设的基础条件、比较优势与短板弱项，明确科创走廊建设的总体思路、基本原则、空间架构与分阶段发展目标。围绕科创资源共建共享、战略科技力量协同攻坚、创新链产业链资金链人才链深度融合、国际一流创新生态共育、跨区域体制机制创新等方向，提出科创走廊建设的实施路径、重点任务与对策建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八、汉港科技合作路径研究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仿宋" w:hAnsi="文星仿宋" w:eastAsia="文星仿宋" w:cs="文星仿宋"/>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系统研究“香港基础研究+武汉中试转化”“联合实验室”等汉港科技合作的最优模式，明确从高校对接、项目筛选到共建创新载体的具体实施路径与分工机制，针对港籍科研人员在人才流动（如社保）、资金跨境（港校基金）、数据过境、设备通关等关键要素上存在的制度瓶颈，借鉴河套深港科技创新合作区等先进经验，提出适配武汉的具体合作路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文星黑体" w:eastAsia="文星黑体" w:cs="文星黑体"/>
          <w:b w:val="0"/>
          <w:bCs w:val="0"/>
          <w:color w:val="auto"/>
          <w:sz w:val="32"/>
          <w:szCs w:val="32"/>
          <w:highlight w:val="none"/>
          <w:lang w:val="en-US" w:eastAsia="zh-CN"/>
        </w:rPr>
      </w:pPr>
      <w:r>
        <w:rPr>
          <w:rFonts w:hint="eastAsia" w:ascii="文星黑体" w:hAnsi="文星黑体" w:eastAsia="文星黑体" w:cs="文星黑体"/>
          <w:b w:val="0"/>
          <w:bCs w:val="0"/>
          <w:color w:val="auto"/>
          <w:sz w:val="32"/>
          <w:szCs w:val="32"/>
          <w:highlight w:val="none"/>
          <w:lang w:val="en-US" w:eastAsia="zh-CN"/>
        </w:rPr>
        <w:t>九、促进武汉科技创新的法治保障体系研究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文星仿宋" w:hAnsi="文星仿宋" w:eastAsia="文星仿宋" w:cs="文星仿宋"/>
          <w:b w:val="0"/>
          <w:bCs w:val="0"/>
          <w:color w:val="auto"/>
          <w:sz w:val="32"/>
          <w:szCs w:val="32"/>
          <w:highlight w:val="none"/>
          <w:lang w:val="en-US" w:eastAsia="zh-CN"/>
        </w:rPr>
      </w:pPr>
      <w:r>
        <w:rPr>
          <w:rFonts w:hint="eastAsia" w:ascii="文星仿宋" w:hAnsi="文星仿宋" w:eastAsia="文星仿宋" w:cs="文星仿宋"/>
          <w:b/>
          <w:bCs/>
          <w:color w:val="auto"/>
          <w:sz w:val="32"/>
          <w:szCs w:val="32"/>
          <w:highlight w:val="none"/>
          <w:lang w:val="en-US" w:eastAsia="zh-CN"/>
        </w:rPr>
        <w:t>研究内容：</w:t>
      </w:r>
      <w:r>
        <w:rPr>
          <w:rFonts w:hint="eastAsia" w:ascii="文星仿宋" w:hAnsi="文星仿宋" w:eastAsia="文星仿宋" w:cs="文星仿宋"/>
          <w:b w:val="0"/>
          <w:bCs w:val="0"/>
          <w:color w:val="auto"/>
          <w:sz w:val="32"/>
          <w:szCs w:val="32"/>
          <w:highlight w:val="none"/>
          <w:lang w:val="en-US" w:eastAsia="zh-CN"/>
        </w:rPr>
        <w:t>挖掘分析国内先进省市科技创新立法典型做法与先进经验，系统梳理武汉市科技创新法规体系与先进省市的核心制度差异，重点识别在科技成果转化、人才激励保障、科技金融支撑、新兴领域治理、尽职免责机制等关键领域存在的制度短板与立法空白。对标先进地区制度创新亮点，结合武汉建设具有全国影响力的科技创新中心的战略定位和“一城三廊多带”战略布局，围绕《武汉市科技创新促进条例》修订的核心条款、制度创新、实施路径开展研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文星仿宋" w:cs="文星仿宋"/>
          <w:color w:val="auto"/>
          <w:sz w:val="32"/>
          <w:szCs w:val="32"/>
          <w:highlight w:val="none"/>
          <w:lang w:val="en-US" w:eastAsia="zh-CN"/>
        </w:rPr>
      </w:pPr>
    </w:p>
    <w:p>
      <w:pPr>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文星仿宋" w:hAnsi="文星仿宋" w:eastAsia="文星仿宋" w:cs="文星仿宋"/>
                              <w:sz w:val="22"/>
                              <w:szCs w:val="22"/>
                            </w:rPr>
                          </w:pPr>
                          <w:r>
                            <w:rPr>
                              <w:rFonts w:hint="eastAsia" w:ascii="文星仿宋" w:hAnsi="文星仿宋" w:eastAsia="文星仿宋" w:cs="文星仿宋"/>
                              <w:sz w:val="22"/>
                              <w:szCs w:val="22"/>
                            </w:rPr>
                            <w:t xml:space="preserve">— </w:t>
                          </w:r>
                          <w:r>
                            <w:rPr>
                              <w:rFonts w:hint="eastAsia" w:ascii="文星仿宋" w:hAnsi="文星仿宋" w:eastAsia="文星仿宋" w:cs="文星仿宋"/>
                              <w:sz w:val="22"/>
                              <w:szCs w:val="22"/>
                            </w:rPr>
                            <w:fldChar w:fldCharType="begin"/>
                          </w:r>
                          <w:r>
                            <w:rPr>
                              <w:rFonts w:hint="eastAsia" w:ascii="文星仿宋" w:hAnsi="文星仿宋" w:eastAsia="文星仿宋" w:cs="文星仿宋"/>
                              <w:sz w:val="22"/>
                              <w:szCs w:val="22"/>
                            </w:rPr>
                            <w:instrText xml:space="preserve"> PAGE  \* MERGEFORMAT </w:instrText>
                          </w:r>
                          <w:r>
                            <w:rPr>
                              <w:rFonts w:hint="eastAsia" w:ascii="文星仿宋" w:hAnsi="文星仿宋" w:eastAsia="文星仿宋" w:cs="文星仿宋"/>
                              <w:sz w:val="22"/>
                              <w:szCs w:val="22"/>
                            </w:rPr>
                            <w:fldChar w:fldCharType="separate"/>
                          </w:r>
                          <w:r>
                            <w:rPr>
                              <w:rFonts w:hint="eastAsia" w:ascii="文星仿宋" w:hAnsi="文星仿宋" w:eastAsia="文星仿宋" w:cs="文星仿宋"/>
                              <w:sz w:val="22"/>
                              <w:szCs w:val="22"/>
                            </w:rPr>
                            <w:t>25</w:t>
                          </w:r>
                          <w:r>
                            <w:rPr>
                              <w:rFonts w:hint="eastAsia" w:ascii="文星仿宋" w:hAnsi="文星仿宋" w:eastAsia="文星仿宋" w:cs="文星仿宋"/>
                              <w:sz w:val="22"/>
                              <w:szCs w:val="22"/>
                            </w:rPr>
                            <w:fldChar w:fldCharType="end"/>
                          </w:r>
                          <w:r>
                            <w:rPr>
                              <w:rFonts w:hint="eastAsia" w:ascii="文星仿宋" w:hAnsi="文星仿宋" w:eastAsia="文星仿宋" w:cs="文星仿宋"/>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rPr>
                        <w:rFonts w:hint="eastAsia" w:ascii="文星仿宋" w:hAnsi="文星仿宋" w:eastAsia="文星仿宋" w:cs="文星仿宋"/>
                        <w:sz w:val="22"/>
                        <w:szCs w:val="22"/>
                      </w:rPr>
                    </w:pPr>
                    <w:r>
                      <w:rPr>
                        <w:rFonts w:hint="eastAsia" w:ascii="文星仿宋" w:hAnsi="文星仿宋" w:eastAsia="文星仿宋" w:cs="文星仿宋"/>
                        <w:sz w:val="22"/>
                        <w:szCs w:val="22"/>
                      </w:rPr>
                      <w:t xml:space="preserve">— </w:t>
                    </w:r>
                    <w:r>
                      <w:rPr>
                        <w:rFonts w:hint="eastAsia" w:ascii="文星仿宋" w:hAnsi="文星仿宋" w:eastAsia="文星仿宋" w:cs="文星仿宋"/>
                        <w:sz w:val="22"/>
                        <w:szCs w:val="22"/>
                      </w:rPr>
                      <w:fldChar w:fldCharType="begin"/>
                    </w:r>
                    <w:r>
                      <w:rPr>
                        <w:rFonts w:hint="eastAsia" w:ascii="文星仿宋" w:hAnsi="文星仿宋" w:eastAsia="文星仿宋" w:cs="文星仿宋"/>
                        <w:sz w:val="22"/>
                        <w:szCs w:val="22"/>
                      </w:rPr>
                      <w:instrText xml:space="preserve"> PAGE  \* MERGEFORMAT </w:instrText>
                    </w:r>
                    <w:r>
                      <w:rPr>
                        <w:rFonts w:hint="eastAsia" w:ascii="文星仿宋" w:hAnsi="文星仿宋" w:eastAsia="文星仿宋" w:cs="文星仿宋"/>
                        <w:sz w:val="22"/>
                        <w:szCs w:val="22"/>
                      </w:rPr>
                      <w:fldChar w:fldCharType="separate"/>
                    </w:r>
                    <w:r>
                      <w:rPr>
                        <w:rFonts w:hint="eastAsia" w:ascii="文星仿宋" w:hAnsi="文星仿宋" w:eastAsia="文星仿宋" w:cs="文星仿宋"/>
                        <w:sz w:val="22"/>
                        <w:szCs w:val="22"/>
                      </w:rPr>
                      <w:t>25</w:t>
                    </w:r>
                    <w:r>
                      <w:rPr>
                        <w:rFonts w:hint="eastAsia" w:ascii="文星仿宋" w:hAnsi="文星仿宋" w:eastAsia="文星仿宋" w:cs="文星仿宋"/>
                        <w:sz w:val="22"/>
                        <w:szCs w:val="22"/>
                      </w:rPr>
                      <w:fldChar w:fldCharType="end"/>
                    </w:r>
                    <w:r>
                      <w:rPr>
                        <w:rFonts w:hint="eastAsia" w:ascii="文星仿宋" w:hAnsi="文星仿宋" w:eastAsia="文星仿宋" w:cs="文星仿宋"/>
                        <w:sz w:val="22"/>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FB57A1"/>
    <w:rsid w:val="363569C2"/>
    <w:rsid w:val="4A1947CF"/>
    <w:rsid w:val="5FDF0D22"/>
    <w:rsid w:val="6FE645B8"/>
    <w:rsid w:val="7F4E47D6"/>
    <w:rsid w:val="E3EBD479"/>
    <w:rsid w:val="E5CD651B"/>
    <w:rsid w:val="F9DFD740"/>
    <w:rsid w:val="FBF39179"/>
    <w:rsid w:val="FD5EA7D0"/>
    <w:rsid w:val="FEE13111"/>
    <w:rsid w:val="FFBFB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星~~</cp:lastModifiedBy>
  <cp:lastPrinted>2026-05-18T08:50:46Z</cp:lastPrinted>
  <dcterms:modified xsi:type="dcterms:W3CDTF">2026-05-18T08:50:47Z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